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3" w:rsidRPr="00055833" w:rsidRDefault="00055833" w:rsidP="00055833">
      <w:pPr>
        <w:jc w:val="both"/>
        <w:rPr>
          <w:rFonts w:ascii="Times New Roman" w:hAnsi="Times New Roman" w:cs="Times New Roman"/>
          <w:sz w:val="24"/>
          <w:szCs w:val="24"/>
        </w:rPr>
      </w:pPr>
      <w:r w:rsidRPr="00055833">
        <w:rPr>
          <w:rFonts w:ascii="Times New Roman" w:hAnsi="Times New Roman" w:cs="Times New Roman"/>
          <w:b/>
          <w:bCs/>
          <w:sz w:val="24"/>
          <w:szCs w:val="24"/>
        </w:rPr>
        <w:t>COMUNICAT</w:t>
      </w:r>
    </w:p>
    <w:p w:rsidR="00055833" w:rsidRPr="00055833" w:rsidRDefault="00055833" w:rsidP="00055833">
      <w:pPr>
        <w:jc w:val="both"/>
        <w:rPr>
          <w:rFonts w:ascii="Times New Roman" w:hAnsi="Times New Roman" w:cs="Times New Roman"/>
          <w:sz w:val="24"/>
          <w:szCs w:val="24"/>
        </w:rPr>
      </w:pPr>
      <w:r w:rsidRPr="0005583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 Ref. la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încheierea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contractelor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implementarea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programelor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naționale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   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sănătate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publică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conform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prevederilor</w:t>
      </w:r>
      <w:proofErr w:type="spellEnd"/>
      <w:proofErr w:type="gram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 H.G.nr.423</w:t>
      </w:r>
      <w:proofErr w:type="gram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/2022 </w:t>
      </w:r>
      <w:proofErr w:type="spellStart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055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O.M.S. nr.964/2022</w:t>
      </w:r>
    </w:p>
    <w:p w:rsidR="00055833" w:rsidRPr="00055833" w:rsidRDefault="00055833" w:rsidP="00055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83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nr.423/2022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833">
        <w:rPr>
          <w:rFonts w:ascii="Times New Roman" w:hAnsi="Times New Roman" w:cs="Times New Roman"/>
          <w:sz w:val="24"/>
          <w:szCs w:val="24"/>
        </w:rPr>
        <w:t xml:space="preserve">964/2022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833" w:rsidRPr="00055833" w:rsidRDefault="00055833" w:rsidP="00055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privați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depășesc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  <w:u w:val="single"/>
        </w:rPr>
        <w:t>documente</w:t>
      </w:r>
      <w:r>
        <w:rPr>
          <w:rFonts w:ascii="Times New Roman" w:hAnsi="Times New Roman" w:cs="Times New Roman"/>
          <w:sz w:val="24"/>
          <w:szCs w:val="24"/>
          <w:u w:val="single"/>
        </w:rPr>
        <w:t>le</w:t>
      </w:r>
      <w:proofErr w:type="spellEnd"/>
      <w:r w:rsidRPr="000558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  <w:u w:val="single"/>
        </w:rPr>
        <w:t>după</w:t>
      </w:r>
      <w:proofErr w:type="spellEnd"/>
      <w:r w:rsidRPr="00055833">
        <w:rPr>
          <w:rFonts w:ascii="Times New Roman" w:hAnsi="Times New Roman" w:cs="Times New Roman"/>
          <w:sz w:val="24"/>
          <w:szCs w:val="24"/>
          <w:u w:val="single"/>
        </w:rPr>
        <w:t xml:space="preserve"> cum </w:t>
      </w:r>
      <w:proofErr w:type="spellStart"/>
      <w:r w:rsidRPr="00055833">
        <w:rPr>
          <w:rFonts w:ascii="Times New Roman" w:hAnsi="Times New Roman" w:cs="Times New Roman"/>
          <w:sz w:val="24"/>
          <w:szCs w:val="24"/>
          <w:u w:val="single"/>
        </w:rPr>
        <w:t>urmează</w:t>
      </w:r>
      <w:proofErr w:type="spellEnd"/>
      <w:r w:rsidRPr="000558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4E4F" w:rsidRPr="005A4E4F" w:rsidRDefault="00055833" w:rsidP="0005583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4E4F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privați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depășesc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>) – </w:t>
      </w:r>
      <w:proofErr w:type="spellStart"/>
      <w:r w:rsidR="00532EAC" w:rsidRPr="00532EAC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begin"/>
      </w:r>
      <w:r w:rsidRPr="005A4E4F"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 HYPERLINK "https://dspiasi.ro/wp-content/uploads/2022/04/Anexa-1-DSP-Iasi-Adresa-catre-unitatile-de-specialitate-ptr-contractare-programe-nationale-AAPL-12.04.2022.pdf" </w:instrText>
      </w:r>
      <w:r w:rsidR="00532EAC" w:rsidRPr="00532EAC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separate"/>
      </w:r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Anexa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1 – DSP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București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–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Adresa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către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unitățile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de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specialitate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–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pentru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contractare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programe</w:t>
      </w:r>
      <w:proofErr w:type="spellEnd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 xml:space="preserve"> </w:t>
      </w:r>
      <w:proofErr w:type="spellStart"/>
      <w:r w:rsidRPr="005A4E4F"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u w:val="none"/>
        </w:rPr>
        <w:t>nationale</w:t>
      </w:r>
      <w:proofErr w:type="spellEnd"/>
      <w:r w:rsidR="00532EAC" w:rsidRPr="005A4E4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A4E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5833" w:rsidRPr="005A4E4F" w:rsidRDefault="00055833" w:rsidP="0005583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4E4F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5A4E4F"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 w:rsidRPr="005A4E4F">
        <w:rPr>
          <w:rFonts w:ascii="Times New Roman" w:hAnsi="Times New Roman" w:cs="Times New Roman"/>
          <w:sz w:val="24"/>
          <w:szCs w:val="24"/>
        </w:rPr>
        <w:t xml:space="preserve"> – </w:t>
      </w:r>
      <w:r w:rsidRPr="005A4E4F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5" w:history="1"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Anexa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2 – DSP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București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–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Adresa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către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medicii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de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familie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–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pentru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contractare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conform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noilor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norme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tehnice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prevăzute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</w:t>
        </w:r>
        <w:proofErr w:type="spellStart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>în</w:t>
        </w:r>
        <w:proofErr w:type="spellEnd"/>
        <w:r w:rsidRPr="005A4E4F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u w:val="none"/>
          </w:rPr>
          <w:t xml:space="preserve"> OMS 964-2022</w:t>
        </w:r>
      </w:hyperlink>
      <w:r w:rsidRPr="005A4E4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55833" w:rsidRPr="00055833" w:rsidRDefault="00055833" w:rsidP="00055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>Termenul</w:t>
      </w:r>
      <w:proofErr w:type="spellEnd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>depunere</w:t>
      </w:r>
      <w:proofErr w:type="spellEnd"/>
      <w:r w:rsidRPr="0005583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 </w:t>
      </w:r>
      <w:proofErr w:type="spellStart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5583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la data de 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55833">
        <w:rPr>
          <w:rFonts w:ascii="Times New Roman" w:hAnsi="Times New Roman" w:cs="Times New Roman"/>
          <w:b/>
          <w:bCs/>
          <w:sz w:val="24"/>
          <w:szCs w:val="24"/>
        </w:rPr>
        <w:t>.04.2022</w:t>
      </w:r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>termenul</w:t>
      </w:r>
      <w:proofErr w:type="spellEnd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>limită</w:t>
      </w:r>
      <w:proofErr w:type="spellEnd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>încheiere</w:t>
      </w:r>
      <w:proofErr w:type="spellEnd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055833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55833">
        <w:rPr>
          <w:rFonts w:ascii="Times New Roman" w:hAnsi="Times New Roman" w:cs="Times New Roman"/>
          <w:b/>
          <w:bCs/>
          <w:sz w:val="24"/>
          <w:szCs w:val="24"/>
        </w:rPr>
        <w:t>.04.2022</w:t>
      </w:r>
      <w:r w:rsidRPr="00055833">
        <w:rPr>
          <w:rFonts w:ascii="Times New Roman" w:hAnsi="Times New Roman" w:cs="Times New Roman"/>
          <w:sz w:val="24"/>
          <w:szCs w:val="24"/>
        </w:rPr>
        <w:t>.</w:t>
      </w:r>
    </w:p>
    <w:p w:rsidR="00055833" w:rsidRPr="00055833" w:rsidRDefault="00055833" w:rsidP="00055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833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însotite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termene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>.</w:t>
      </w:r>
    </w:p>
    <w:p w:rsidR="00055833" w:rsidRPr="00055833" w:rsidRDefault="00055833" w:rsidP="00055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833">
        <w:rPr>
          <w:rFonts w:ascii="Times New Roman" w:hAnsi="Times New Roman" w:cs="Times New Roman"/>
          <w:sz w:val="24"/>
          <w:szCs w:val="24"/>
        </w:rPr>
        <w:t>Precizam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5833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2022 se pot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adiționale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3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055833">
        <w:rPr>
          <w:rFonts w:ascii="Times New Roman" w:hAnsi="Times New Roman" w:cs="Times New Roman"/>
          <w:sz w:val="24"/>
          <w:szCs w:val="24"/>
        </w:rPr>
        <w:t xml:space="preserve"> cu data de </w:t>
      </w:r>
      <w:r w:rsidRPr="00055833">
        <w:rPr>
          <w:rFonts w:ascii="Times New Roman" w:hAnsi="Times New Roman" w:cs="Times New Roman"/>
          <w:sz w:val="24"/>
          <w:szCs w:val="24"/>
          <w:u w:val="single"/>
        </w:rPr>
        <w:t>01.05.2022.</w:t>
      </w:r>
    </w:p>
    <w:p w:rsidR="00055833" w:rsidRPr="00055833" w:rsidRDefault="00055833" w:rsidP="00055833">
      <w:pPr>
        <w:jc w:val="both"/>
      </w:pPr>
      <w:proofErr w:type="spellStart"/>
      <w:r w:rsidRPr="00055833">
        <w:rPr>
          <w:b/>
          <w:bCs/>
        </w:rPr>
        <w:t>Vă</w:t>
      </w:r>
      <w:proofErr w:type="spellEnd"/>
      <w:r w:rsidRPr="00055833">
        <w:rPr>
          <w:b/>
          <w:bCs/>
        </w:rPr>
        <w:t xml:space="preserve"> </w:t>
      </w:r>
      <w:proofErr w:type="spellStart"/>
      <w:r w:rsidRPr="00055833">
        <w:rPr>
          <w:b/>
          <w:bCs/>
        </w:rPr>
        <w:t>mulțumim</w:t>
      </w:r>
      <w:proofErr w:type="spellEnd"/>
      <w:r w:rsidRPr="00055833">
        <w:rPr>
          <w:b/>
          <w:bCs/>
        </w:rPr>
        <w:t xml:space="preserve"> </w:t>
      </w:r>
      <w:proofErr w:type="spellStart"/>
      <w:r w:rsidRPr="00055833">
        <w:rPr>
          <w:b/>
          <w:bCs/>
        </w:rPr>
        <w:t>pentru</w:t>
      </w:r>
      <w:proofErr w:type="spellEnd"/>
      <w:r w:rsidRPr="00055833">
        <w:rPr>
          <w:b/>
          <w:bCs/>
        </w:rPr>
        <w:t xml:space="preserve"> </w:t>
      </w:r>
      <w:proofErr w:type="spellStart"/>
      <w:r w:rsidRPr="00055833">
        <w:rPr>
          <w:b/>
          <w:bCs/>
        </w:rPr>
        <w:t>colaborare</w:t>
      </w:r>
      <w:proofErr w:type="spellEnd"/>
      <w:r w:rsidRPr="00055833">
        <w:rPr>
          <w:b/>
          <w:bCs/>
        </w:rPr>
        <w:t>!</w:t>
      </w:r>
    </w:p>
    <w:sectPr w:rsidR="00055833" w:rsidRPr="00055833" w:rsidSect="0013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054"/>
    <w:multiLevelType w:val="multilevel"/>
    <w:tmpl w:val="344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55833"/>
    <w:rsid w:val="00055833"/>
    <w:rsid w:val="00137434"/>
    <w:rsid w:val="001B04F5"/>
    <w:rsid w:val="00532EAC"/>
    <w:rsid w:val="005A4E4F"/>
    <w:rsid w:val="00BF3B9E"/>
    <w:rsid w:val="00C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030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  <w:div w:id="155192103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69607808">
              <w:marLeft w:val="0"/>
              <w:marRight w:val="0"/>
              <w:marTop w:val="225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712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27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  <w:divsChild>
            <w:div w:id="1202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30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  <w:div w:id="525750097">
          <w:marLeft w:val="0"/>
          <w:marRight w:val="0"/>
          <w:marTop w:val="0"/>
          <w:marBottom w:val="637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362975821">
              <w:marLeft w:val="0"/>
              <w:marRight w:val="0"/>
              <w:marTop w:val="227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886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0534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  <w:divsChild>
            <w:div w:id="935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piasi.ro/wp-content/uploads/2022/04/Anexa-2-DSP-Iasi-Adresa-toti-medicii-de-familie-incheiere-contracte-cf-noilor-normeOMS-964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2022-04-15T07:57:00Z</cp:lastPrinted>
  <dcterms:created xsi:type="dcterms:W3CDTF">2022-04-15T07:22:00Z</dcterms:created>
  <dcterms:modified xsi:type="dcterms:W3CDTF">2022-04-15T08:52:00Z</dcterms:modified>
</cp:coreProperties>
</file>