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46" w:rsidRPr="00FC7DEB" w:rsidRDefault="00BF0D46" w:rsidP="00BF0D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7DEB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HOTĂRÂRE nr.</w:t>
      </w:r>
      <w:proofErr w:type="gramEnd"/>
      <w:r w:rsidRPr="00FC7DEB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1.723 din 14 </w:t>
      </w:r>
      <w:proofErr w:type="spellStart"/>
      <w:r w:rsidRPr="00FC7DEB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octombrie</w:t>
      </w:r>
      <w:proofErr w:type="spellEnd"/>
      <w:r w:rsidRPr="00FC7DEB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2004</w:t>
      </w:r>
      <w:r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combaterea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birocratiei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relatii</w:t>
      </w:r>
      <w:proofErr w:type="spellEnd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FC7DEB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</w:p>
    <w:tbl>
      <w:tblPr>
        <w:tblW w:w="9350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8"/>
        <w:gridCol w:w="22"/>
      </w:tblGrid>
      <w:tr w:rsidR="00BF0D46" w:rsidRPr="00FC7DEB" w:rsidTr="008F4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D46" w:rsidRPr="00FC7DEB" w:rsidRDefault="00BF0D46" w:rsidP="008F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B">
              <w:rPr>
                <w:rStyle w:val="semtttl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EMITEN</w:t>
            </w:r>
            <w:r>
              <w:rPr>
                <w:rStyle w:val="semtttl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</w:t>
            </w:r>
            <w:r w:rsidRPr="00FC7DEB">
              <w:rPr>
                <w:rStyle w:val="semtbdy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GUVERNUL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D46" w:rsidRPr="00FC7DEB" w:rsidRDefault="00BF0D46" w:rsidP="008F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46" w:rsidRPr="00FC7DEB" w:rsidRDefault="00BF0D46" w:rsidP="00BF0D46">
      <w:pPr>
        <w:jc w:val="both"/>
        <w:rPr>
          <w:rStyle w:val="sanx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C7DEB">
        <w:rPr>
          <w:rStyle w:val="spub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Publicat</w:t>
      </w:r>
      <w:proofErr w:type="spellEnd"/>
      <w:r w:rsidRPr="00FC7DEB">
        <w:rPr>
          <w:rStyle w:val="spub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7DEB">
        <w:rPr>
          <w:rStyle w:val="spub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proofErr w:type="gramStart"/>
      <w:r w:rsidRPr="00FC7DEB">
        <w:rPr>
          <w:rStyle w:val="spub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FC7DEB">
        <w:rPr>
          <w:rStyle w:val="spub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MONITORUL</w:t>
      </w:r>
      <w:proofErr w:type="gramEnd"/>
      <w:r w:rsidRPr="00FC7DEB">
        <w:rPr>
          <w:rStyle w:val="spub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OFICIAL nr. 1009 din 2 </w:t>
      </w:r>
      <w:proofErr w:type="spellStart"/>
      <w:r w:rsidRPr="00FC7DEB">
        <w:rPr>
          <w:rStyle w:val="spub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noiembrie</w:t>
      </w:r>
      <w:proofErr w:type="spellEnd"/>
      <w:r w:rsidRPr="00FC7DEB">
        <w:rPr>
          <w:rStyle w:val="spub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2004</w:t>
      </w:r>
      <w:r w:rsidRPr="00FC7D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FC7DEB">
        <w:rPr>
          <w:rStyle w:val="sanx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FC7DEB">
        <w:rPr>
          <w:rStyle w:val="sanx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nr. 1</w:t>
      </w:r>
    </w:p>
    <w:p w:rsidR="00F21550" w:rsidRDefault="00F21550" w:rsidP="008F72A2">
      <w:pPr>
        <w:jc w:val="both"/>
        <w:rPr>
          <w:rStyle w:val="sanxttl"/>
          <w:rFonts w:ascii="Verdana" w:hAnsi="Verdana"/>
          <w:b/>
          <w:bCs/>
          <w:color w:val="00008B"/>
          <w:sz w:val="20"/>
          <w:szCs w:val="20"/>
          <w:bdr w:val="none" w:sz="0" w:space="0" w:color="auto" w:frame="1"/>
          <w:shd w:val="clear" w:color="auto" w:fill="FFFFFF"/>
        </w:rPr>
      </w:pPr>
    </w:p>
    <w:p w:rsidR="001676DF" w:rsidRDefault="001676DF" w:rsidP="008F72A2">
      <w:pPr>
        <w:jc w:val="both"/>
        <w:rPr>
          <w:rStyle w:val="sanxttl"/>
          <w:rFonts w:ascii="Verdana" w:hAnsi="Verdana"/>
          <w:b/>
          <w:bCs/>
          <w:color w:val="00008B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anxttl"/>
          <w:rFonts w:ascii="Verdana" w:hAnsi="Verdana"/>
          <w:b/>
          <w:bCs/>
          <w:color w:val="00008B"/>
          <w:sz w:val="20"/>
          <w:szCs w:val="20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sanxttl"/>
          <w:rFonts w:ascii="Verdana" w:hAnsi="Verdana"/>
          <w:b/>
          <w:bCs/>
          <w:color w:val="00008B"/>
          <w:sz w:val="20"/>
          <w:szCs w:val="20"/>
          <w:bdr w:val="none" w:sz="0" w:space="0" w:color="auto" w:frame="1"/>
          <w:shd w:val="clear" w:color="auto" w:fill="FFFFFF"/>
        </w:rPr>
        <w:t xml:space="preserve"> nr.</w:t>
      </w:r>
      <w:proofErr w:type="gramEnd"/>
      <w:r>
        <w:rPr>
          <w:rStyle w:val="sanxttl"/>
          <w:rFonts w:ascii="Verdana" w:hAnsi="Verdana"/>
          <w:b/>
          <w:bCs/>
          <w:color w:val="00008B"/>
          <w:sz w:val="20"/>
          <w:szCs w:val="20"/>
          <w:bdr w:val="none" w:sz="0" w:space="0" w:color="auto" w:frame="1"/>
          <w:shd w:val="clear" w:color="auto" w:fill="FFFFFF"/>
        </w:rPr>
        <w:t xml:space="preserve"> 1</w:t>
      </w:r>
    </w:p>
    <w:p w:rsidR="008F72A2" w:rsidRPr="006F0227" w:rsidRDefault="001676DF" w:rsidP="008F72A2">
      <w:pPr>
        <w:jc w:val="both"/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4" w:history="1">
        <w:r w:rsidRPr="001676DF">
          <w:rPr>
            <w:rStyle w:val="Hyperlink"/>
            <w:rFonts w:ascii="Times New Roman" w:hAnsi="Times New Roman" w:cs="Times New Roman"/>
            <w:b/>
            <w:color w:val="BB3A3A"/>
            <w:sz w:val="24"/>
            <w:szCs w:val="24"/>
            <w:bdr w:val="none" w:sz="0" w:space="0" w:color="auto" w:frame="1"/>
            <w:shd w:val="clear" w:color="auto" w:fill="FFFFFF"/>
          </w:rPr>
          <w:t xml:space="preserve">PROGRAMUL DE </w:t>
        </w:r>
        <w:proofErr w:type="gramStart"/>
        <w:r w:rsidRPr="001676DF">
          <w:rPr>
            <w:rStyle w:val="Hyperlink"/>
            <w:rFonts w:ascii="Times New Roman" w:hAnsi="Times New Roman" w:cs="Times New Roman"/>
            <w:b/>
            <w:color w:val="BB3A3A"/>
            <w:sz w:val="24"/>
            <w:szCs w:val="24"/>
            <w:bdr w:val="none" w:sz="0" w:space="0" w:color="auto" w:frame="1"/>
            <w:shd w:val="clear" w:color="auto" w:fill="FFFFFF"/>
          </w:rPr>
          <w:t xml:space="preserve">MASURI  </w:t>
        </w:r>
        <w:proofErr w:type="spellStart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pentru</w:t>
        </w:r>
        <w:proofErr w:type="spellEnd"/>
        <w:proofErr w:type="gramEnd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combaterea</w:t>
        </w:r>
        <w:proofErr w:type="spellEnd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birocrației</w:t>
        </w:r>
        <w:proofErr w:type="spellEnd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în</w:t>
        </w:r>
        <w:proofErr w:type="spellEnd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activitatea</w:t>
        </w:r>
        <w:proofErr w:type="spellEnd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relații</w:t>
        </w:r>
        <w:proofErr w:type="spellEnd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cu </w:t>
        </w:r>
        <w:proofErr w:type="spellStart"/>
        <w:r w:rsidRPr="001676DF">
          <w:rPr>
            <w:rStyle w:val="spar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publicul</w:t>
        </w:r>
        <w:proofErr w:type="spellEnd"/>
      </w:hyperlink>
      <w:r w:rsidR="008F72A2" w:rsidRPr="001676D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8F72A2" w:rsidRPr="001676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8F72A2" w:rsidRPr="008F72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8F72A2"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A.</w:t>
      </w:r>
      <w:r w:rsidR="008F72A2"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Autoritățile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administrației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centrale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locale 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vor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lua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urmatoarele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="008F72A2" w:rsidRPr="006F0227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F72A2" w:rsidRPr="008F72A2" w:rsidRDefault="008F72A2" w:rsidP="008F72A2">
      <w:pPr>
        <w:jc w:val="both"/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I.</w:t>
      </w:r>
      <w:r w:rsidRPr="008F72A2">
        <w:rPr>
          <w:rStyle w:val="spct"/>
          <w:rFonts w:ascii="Times New Roman" w:hAnsi="Times New Roman" w:cs="Times New Roman"/>
          <w:b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8F72A2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8F72A2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8F72A2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termen</w:t>
      </w:r>
      <w:proofErr w:type="spellEnd"/>
      <w:r w:rsidRPr="008F72A2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scurt</w:t>
      </w:r>
      <w:proofErr w:type="spellEnd"/>
      <w:r w:rsidRPr="008F72A2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F72A2" w:rsidRDefault="008F72A2" w:rsidP="008F72A2">
      <w:pPr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8F72A2">
        <w:rPr>
          <w:rStyle w:val="slit"/>
          <w:rFonts w:ascii="Times New Roman" w:hAnsi="Times New Roman" w:cs="Times New Roman"/>
          <w:color w:val="0000FF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programul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stabileste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astfel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încât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lucratoare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asigure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accesul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cetatenilor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8,30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16,30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intr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-o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zi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săptămâna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8,30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18,30,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exclusiv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sambata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fi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stabilita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act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administrativ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conducătorii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instituțiilor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autorităților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administrației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centrale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locale.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Programul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afișează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la loc 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vizibil</w:t>
      </w:r>
      <w:proofErr w:type="spellEnd"/>
      <w:r w:rsidRPr="008F72A2">
        <w:rPr>
          <w:rStyle w:val="slitbdy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;</w:t>
      </w:r>
      <w:proofErr w:type="gramEnd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(la 09-12-2005, </w:t>
      </w:r>
      <w:proofErr w:type="spellStart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Litera</w:t>
      </w:r>
      <w:proofErr w:type="spellEnd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a), </w:t>
      </w:r>
      <w:proofErr w:type="spellStart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punctul</w:t>
      </w:r>
      <w:proofErr w:type="spellEnd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I, Cap. </w:t>
      </w:r>
      <w:proofErr w:type="gramStart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modificată</w:t>
      </w:r>
      <w:proofErr w:type="spellEnd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"https://legislatie.just.ro/Public/DetaliiDocumentAfis/66679" </w:instrText>
      </w:r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articolul</w:t>
      </w:r>
      <w:proofErr w:type="spellEnd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unic</w:t>
      </w:r>
      <w:proofErr w:type="spellEnd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din HOTĂRÂREA nr. </w:t>
      </w:r>
      <w:proofErr w:type="gramStart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1.487 din 29 </w:t>
      </w:r>
      <w:proofErr w:type="spellStart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noiembrie</w:t>
      </w:r>
      <w:proofErr w:type="spellEnd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2005, </w:t>
      </w:r>
      <w:proofErr w:type="spellStart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publicată</w:t>
      </w:r>
      <w:proofErr w:type="spellEnd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MONITORUL OFICIAL nr.</w:t>
      </w:r>
      <w:proofErr w:type="gramEnd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1.112 din 9 </w:t>
      </w:r>
      <w:proofErr w:type="spellStart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decembrie</w:t>
      </w:r>
      <w:proofErr w:type="spellEnd"/>
      <w:r w:rsidRPr="008F72A2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2005</w:t>
      </w:r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8F72A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)</w:t>
      </w:r>
    </w:p>
    <w:p w:rsidR="008F72A2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tipizate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afișează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modelele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F72A2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functii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conducere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începând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conducătorului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afișează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spatiile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precizandu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programul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audiente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F72A2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d)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relația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face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cunoscute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identificare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intermediul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ecuson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purtat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vizibil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alt mod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afisare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Modelul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ecusonului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program;</w:t>
      </w:r>
    </w:p>
    <w:p w:rsidR="008F72A2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e)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punctele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organizeaza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locuri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usor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accesibile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asigurandu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marcarea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indicarea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traseelor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F72A2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f)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spatiile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afișează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competența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institutiei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ordonarea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tematicii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functie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specificul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problematicii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abordate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grupului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ținta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redactarea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articolelor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face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titluri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lizibile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accesibile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tuturor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cetățeni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F72A2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g)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deconcentrate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autorităților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administrației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locale de la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nivel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judetean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 municipal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instaleaza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linii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speciale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accesului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cetatenilor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public.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Numerele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mediatizeaza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F72A2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h)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periodic</w:t>
      </w:r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realizează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acțiuni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mediatizare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inclusiv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mass-media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locală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legislației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reglementează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drepturile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cetățeanului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relația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administrația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E7AC0" w:rsidRDefault="006E7AC0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E7AC0" w:rsidRDefault="006E7AC0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F72A2" w:rsidRPr="006E7AC0" w:rsidRDefault="008F72A2" w:rsidP="008F72A2">
      <w:pPr>
        <w:jc w:val="both"/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7AC0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II.</w:t>
      </w:r>
      <w:r w:rsidRPr="006E7AC0">
        <w:rPr>
          <w:rStyle w:val="spct"/>
          <w:rFonts w:ascii="Times New Roman" w:hAnsi="Times New Roman" w:cs="Times New Roman"/>
          <w:b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termen</w:t>
      </w:r>
      <w:proofErr w:type="spellEnd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E7AC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spatiile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amenajeaza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ghisee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opace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iluminare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suficienta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condiții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civilizate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6E7AC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toate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intră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competența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operativ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imprimatele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tip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Imprimatele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tip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cuprinde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lista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exacta </w:t>
      </w:r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actelor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anexate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6E7AC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extinderea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liniilor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tip "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linia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verde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scopul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oferirii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posibilității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obtine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legate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legislației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specifice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fiecarui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6E7AC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d)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publicarea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actualizarea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periodica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pagina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oficiala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Internet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materiale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informativ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6E7AC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e)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facilitarea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scris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mediatizarea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adresei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e-mail,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transmiterea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solicitarilor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petitiilor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E7AC0" w:rsidRPr="006E7AC0" w:rsidRDefault="008F72A2" w:rsidP="008F72A2">
      <w:pPr>
        <w:jc w:val="both"/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III.</w:t>
      </w:r>
      <w:r w:rsidRPr="008F72A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termen</w:t>
      </w:r>
      <w:proofErr w:type="spellEnd"/>
      <w:r w:rsidRPr="006E7AC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lung: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implementarea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management al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procesului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ISO 9001,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cetățeni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desfășurarea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relatiilor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spatii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special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sali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dotate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mobilier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aparatura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preluării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înregistrării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format electronic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personal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specializat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având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aptitudinile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relația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d)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instalarea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numar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suficient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roboti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telefonici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permanenta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solicitarilor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lastRenderedPageBreak/>
        <w:t>e)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introducerea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extinderea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Intranet,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eliminarii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timpilor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morti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operațiunilor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gestionare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informatiei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f)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introducerea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treptata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programarilor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astfel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încât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previna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aglomerarea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suprasolicitarea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compartimentelor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speciale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rezolvarea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vadit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urgenta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g)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separarea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functiilor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front-office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back-office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posibil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atribuții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indrumarii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cetateanului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implicat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h)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preluarea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oricărui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tip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competența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transmiterii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solutionare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compartimentelor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specialitate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deschiderea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centre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indrumare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cetățeni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reședința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cărora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urmeaza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desfășura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programe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familiarizarii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cetateanului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legislatia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aplicabila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fiecarui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60B00" w:rsidRDefault="00F60B00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60B00" w:rsidRDefault="008F72A2" w:rsidP="008F72A2">
      <w:pPr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IV.</w:t>
      </w:r>
      <w:r w:rsidRPr="008F72A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îmbunătățirea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pregatirii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personalului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asigurarii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relatiilor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F60B00">
        <w:rPr>
          <w:rStyle w:val="spc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60B00" w:rsidRDefault="00F60B00" w:rsidP="008F72A2">
      <w:pPr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perfectionarea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pregatirii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aptitudinilor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ghiseu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cursuri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specializare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inceputul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periodic,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puțin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60B00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instituirea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permanent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functionarilor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lucreaza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sanctionatoriu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nerespectarea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legislației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incidente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fiecarui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A51C2" w:rsidRDefault="00FA51C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60B00" w:rsidRPr="00F60B00" w:rsidRDefault="008F72A2" w:rsidP="008F72A2">
      <w:pPr>
        <w:jc w:val="both"/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B.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standardul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etic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personalului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asigurarii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relatiei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F60B00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3D4108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dovadă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disciplina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atât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relatiile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cetatenii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cat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institutiei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desfășoară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D4108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fie calm, politicos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respectuos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întreaga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relatiei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D4108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manifeste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atitudine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pozitiva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rabdare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relația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cetateanul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D4108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d)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foloseasca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limbaj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adecvat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punct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vedere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gramatical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D4108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lastRenderedPageBreak/>
        <w:t>e)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pastreze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confidentialitatea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tuturor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relevante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obtinute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cetatean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D4108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f)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formuleze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raspunsuri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legale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complete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corecte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înțelese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cetatean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D4108" w:rsidRDefault="008F72A2" w:rsidP="008F72A2">
      <w:pPr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g)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indrume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cetateanul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specialitate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obtinerii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informații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detaliate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depasesc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competentele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structurii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asistența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302E1" w:rsidRPr="008F72A2" w:rsidRDefault="008F72A2" w:rsidP="008F72A2">
      <w:pPr>
        <w:jc w:val="both"/>
        <w:rPr>
          <w:rFonts w:ascii="Times New Roman" w:hAnsi="Times New Roman" w:cs="Times New Roman"/>
          <w:sz w:val="24"/>
          <w:szCs w:val="24"/>
        </w:rPr>
      </w:pPr>
      <w:r w:rsidRPr="008F72A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h)</w:t>
      </w:r>
      <w:r w:rsidRPr="008F72A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intrerupa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numai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cetatean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limbaj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trivial,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formulării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amenintari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utilizarii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cetatean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violentei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verbale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fizice</w:t>
      </w:r>
      <w:proofErr w:type="spellEnd"/>
      <w:r w:rsidRPr="008F72A2">
        <w:rPr>
          <w:rStyle w:val="sli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8302E1" w:rsidRPr="008F72A2" w:rsidSect="0083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2A2"/>
    <w:rsid w:val="001676DF"/>
    <w:rsid w:val="003D4108"/>
    <w:rsid w:val="004D2DF1"/>
    <w:rsid w:val="006E7AC0"/>
    <w:rsid w:val="006F0227"/>
    <w:rsid w:val="008302E1"/>
    <w:rsid w:val="008F72A2"/>
    <w:rsid w:val="00BF0D46"/>
    <w:rsid w:val="00EB137D"/>
    <w:rsid w:val="00F21550"/>
    <w:rsid w:val="00F60B00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ubttl">
    <w:name w:val="s_pub_ttl"/>
    <w:basedOn w:val="DefaultParagraphFont"/>
    <w:rsid w:val="008F72A2"/>
  </w:style>
  <w:style w:type="character" w:customStyle="1" w:styleId="spubbdy">
    <w:name w:val="s_pub_bdy"/>
    <w:basedOn w:val="DefaultParagraphFont"/>
    <w:rsid w:val="008F72A2"/>
  </w:style>
  <w:style w:type="character" w:customStyle="1" w:styleId="slit">
    <w:name w:val="s_lit"/>
    <w:basedOn w:val="DefaultParagraphFont"/>
    <w:rsid w:val="008F72A2"/>
  </w:style>
  <w:style w:type="character" w:customStyle="1" w:styleId="slitttl">
    <w:name w:val="s_lit_ttl"/>
    <w:basedOn w:val="DefaultParagraphFont"/>
    <w:rsid w:val="008F72A2"/>
  </w:style>
  <w:style w:type="character" w:customStyle="1" w:styleId="slitbdy">
    <w:name w:val="s_lit_bdy"/>
    <w:basedOn w:val="DefaultParagraphFont"/>
    <w:rsid w:val="008F72A2"/>
  </w:style>
  <w:style w:type="character" w:customStyle="1" w:styleId="spct">
    <w:name w:val="s_pct"/>
    <w:basedOn w:val="DefaultParagraphFont"/>
    <w:rsid w:val="008F72A2"/>
  </w:style>
  <w:style w:type="character" w:customStyle="1" w:styleId="spctttl">
    <w:name w:val="s_pct_ttl"/>
    <w:basedOn w:val="DefaultParagraphFont"/>
    <w:rsid w:val="008F72A2"/>
  </w:style>
  <w:style w:type="character" w:customStyle="1" w:styleId="spctbdy">
    <w:name w:val="s_pct_bdy"/>
    <w:basedOn w:val="DefaultParagraphFont"/>
    <w:rsid w:val="008F72A2"/>
  </w:style>
  <w:style w:type="character" w:customStyle="1" w:styleId="spar">
    <w:name w:val="s_par"/>
    <w:basedOn w:val="DefaultParagraphFont"/>
    <w:rsid w:val="008F72A2"/>
  </w:style>
  <w:style w:type="character" w:styleId="Hyperlink">
    <w:name w:val="Hyperlink"/>
    <w:basedOn w:val="DefaultParagraphFont"/>
    <w:uiPriority w:val="99"/>
    <w:semiHidden/>
    <w:unhideWhenUsed/>
    <w:rsid w:val="008F72A2"/>
    <w:rPr>
      <w:color w:val="0000FF"/>
      <w:u w:val="single"/>
    </w:rPr>
  </w:style>
  <w:style w:type="character" w:customStyle="1" w:styleId="sanxttl">
    <w:name w:val="s_anx_ttl"/>
    <w:basedOn w:val="DefaultParagraphFont"/>
    <w:rsid w:val="001676DF"/>
  </w:style>
  <w:style w:type="character" w:customStyle="1" w:styleId="sref">
    <w:name w:val="s_ref"/>
    <w:basedOn w:val="DefaultParagraphFont"/>
    <w:rsid w:val="001676DF"/>
  </w:style>
  <w:style w:type="character" w:customStyle="1" w:styleId="sden">
    <w:name w:val="s_den"/>
    <w:basedOn w:val="DefaultParagraphFont"/>
    <w:rsid w:val="00BF0D46"/>
  </w:style>
  <w:style w:type="character" w:customStyle="1" w:styleId="shdr">
    <w:name w:val="s_hdr"/>
    <w:basedOn w:val="DefaultParagraphFont"/>
    <w:rsid w:val="00BF0D46"/>
  </w:style>
  <w:style w:type="character" w:customStyle="1" w:styleId="semtttl">
    <w:name w:val="s_emt_ttl"/>
    <w:basedOn w:val="DefaultParagraphFont"/>
    <w:rsid w:val="00BF0D46"/>
  </w:style>
  <w:style w:type="character" w:customStyle="1" w:styleId="semtbdy">
    <w:name w:val="s_emt_bdy"/>
    <w:basedOn w:val="DefaultParagraphFont"/>
    <w:rsid w:val="00BF0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e.just.ro/Public/DetaliiDocumentAfis/6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2022-06-02T08:37:00Z</dcterms:created>
  <dcterms:modified xsi:type="dcterms:W3CDTF">2022-06-02T08:43:00Z</dcterms:modified>
</cp:coreProperties>
</file>